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335"/>
        <w:shd w:val="clear" w:fill="FFFFFF" w:color="auto"/>
        <w:rPr>
          <w:rFonts w:cs="Times New Roman" w:eastAsia="Times New Roman"/>
          <w:b/>
          <w:bCs/>
          <w:color w:val="22272F"/>
          <w:sz w:val="34"/>
          <w:szCs w:val="34"/>
          <w:lang w:eastAsia="ru-RU"/>
        </w:rPr>
      </w:pPr>
      <w:r>
        <w:rPr>
          <w:rFonts w:cs="Times New Roman" w:eastAsia="Times New Roman"/>
          <w:b/>
          <w:bCs/>
          <w:color w:val="22272F"/>
          <w:sz w:val="34"/>
          <w:szCs w:val="34"/>
          <w:lang w:eastAsia="ru-RU"/>
        </w:rPr>
        <w:t xml:space="preserve">Опись имущества гражданина</w:t>
      </w:r>
      <w:r/>
    </w:p>
    <w:tbl>
      <w:tblPr>
        <w:tblW w:w="10110" w:type="dxa"/>
        <w:tblInd w:w="-1410" w:type="dxa"/>
        <w:shd w:val="clear" w:fill="FFFFFF" w:color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655"/>
        <w:gridCol w:w="4769"/>
      </w:tblGrid>
      <w:tr>
        <w:trPr/>
        <w:tc>
          <w:tcPr>
            <w:gridSpan w:val="3"/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0110" w:type="dxa"/>
            <w:textDirection w:val="lrTb"/>
            <w:noWrap w:val="false"/>
          </w:tcPr>
          <w:p>
            <w:pPr>
              <w:ind w:left="-1126" w:right="84" w:firstLine="1210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Информация о гражданине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3686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фамилия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655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обязательно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4769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3686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имя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655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обязательно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4769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3686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отчество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655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при наличии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4769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3686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в случае изменения фамилии, имени, отчества указать прежние фамилии, имена, отчества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655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обязательно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4769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3686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дата рождения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655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обязательно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4769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3686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место рождения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655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обязательно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4769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3686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СНИЛС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655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обязательно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4769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3686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ИНН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655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при наличии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4769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gridSpan w:val="3"/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10110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документ, удостоверяющий личность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3686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вид документа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655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обязательно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4769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3686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серия (при наличии) и номер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655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обязательно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4769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gridSpan w:val="3"/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10110" w:type="dxa"/>
            <w:textDirection w:val="lrTb"/>
            <w:noWrap w:val="false"/>
          </w:tcPr>
          <w:p>
            <w:pPr>
              <w:ind w:left="84" w:right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адрес регистрации по месту жительства в Российской Федерации</w:t>
            </w:r>
            <w:hyperlink r:id="rId9" w:tooltip="https://base.garant.ru/71172030/f7ee959fd36b5699076b35abf4f52c5c/#block_222" w:anchor="block_222" w:history="1">
              <w:r>
                <w:rPr>
                  <w:rFonts w:cs="Times New Roman" w:eastAsia="Times New Roman"/>
                  <w:color w:val="3272C0"/>
                  <w:sz w:val="27"/>
                  <w:lang w:eastAsia="ru-RU"/>
                </w:rPr>
                <w:t xml:space="preserve">*</w:t>
              </w:r>
            </w:hyperlink>
            <w:r/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3686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субъект Российской Федерации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655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обязательно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4769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3686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район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655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при наличии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4769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3686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город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655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при наличии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4769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3686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населенный пункт (село, поселок и так далее)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655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при наличии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4769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3686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улица (проспект, переулок и так далее)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655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при наличии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4769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3686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номер дома (владения)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655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при наличии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4769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3686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номер корпуса (строения)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655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при наличии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4769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3686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номер квартиры (офиса)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655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при наличии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4769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</w:tbl>
    <w:p>
      <w:pPr>
        <w:shd w:val="clear" w:fill="FFFFFF" w:color="auto"/>
        <w:rPr>
          <w:rFonts w:cs="Times New Roman" w:eastAsia="Times New Roman"/>
          <w:color w:val="22272F"/>
          <w:sz w:val="25"/>
          <w:szCs w:val="25"/>
          <w:lang w:eastAsia="ru-RU"/>
        </w:rPr>
      </w:pPr>
      <w:r>
        <w:rPr>
          <w:rFonts w:cs="Times New Roman" w:eastAsia="Times New Roman"/>
          <w:color w:val="22272F"/>
          <w:sz w:val="25"/>
          <w:szCs w:val="25"/>
          <w:lang w:eastAsia="ru-RU"/>
        </w:rPr>
        <w:t xml:space="preserve"> </w:t>
      </w:r>
      <w:r/>
    </w:p>
    <w:p>
      <w:pPr>
        <w:rPr>
          <w:color w:val="464C55"/>
          <w:sz w:val="27"/>
          <w:szCs w:val="27"/>
          <w:shd w:val="clear" w:fill="FFFFFF" w:color="auto"/>
        </w:rPr>
      </w:pPr>
      <w:r>
        <w:rPr>
          <w:color w:val="464C55"/>
          <w:sz w:val="27"/>
          <w:szCs w:val="27"/>
          <w:shd w:val="clear" w:fill="FFFFFF" w:color="auto"/>
        </w:rPr>
        <w:t xml:space="preserve">* 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  <w:r/>
    </w:p>
    <w:p>
      <w:pPr>
        <w:rPr>
          <w:color w:val="464C55"/>
          <w:sz w:val="27"/>
          <w:szCs w:val="27"/>
          <w:shd w:val="clear" w:fill="FFFFFF" w:color="auto"/>
        </w:rPr>
      </w:pPr>
      <w:r>
        <w:rPr>
          <w:color w:val="464C55"/>
          <w:sz w:val="27"/>
          <w:szCs w:val="27"/>
          <w:shd w:val="clear" w:fill="FFFFFF" w:color="auto"/>
        </w:rPr>
      </w:r>
      <w:r/>
    </w:p>
    <w:tbl>
      <w:tblPr>
        <w:tblW w:w="11341" w:type="dxa"/>
        <w:tblInd w:w="-1410" w:type="dxa"/>
        <w:shd w:val="clear" w:fill="FFFFFF" w:color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19"/>
        <w:gridCol w:w="1908"/>
        <w:gridCol w:w="1859"/>
        <w:gridCol w:w="1236"/>
        <w:gridCol w:w="2308"/>
        <w:gridCol w:w="1644"/>
      </w:tblGrid>
      <w:tr>
        <w:trPr/>
        <w:tc>
          <w:tcPr>
            <w:gridSpan w:val="7"/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341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b/>
                <w:bCs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22272F"/>
                <w:sz w:val="27"/>
                <w:szCs w:val="27"/>
                <w:lang w:eastAsia="ru-RU"/>
              </w:rPr>
              <w:t xml:space="preserve">I. Недвижимое имущество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567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N п/п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819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Вид и наименование имущества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908" w:type="dxa"/>
            <w:textDirection w:val="lrTb"/>
            <w:noWrap w:val="false"/>
          </w:tcPr>
          <w:p>
            <w:pPr>
              <w:ind w:left="84" w:right="84"/>
              <w:jc w:val="center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Вид собственности</w:t>
            </w:r>
            <w:hyperlink r:id="rId10" w:tooltip="https://base.garant.ru/71172030/f7ee959fd36b5699076b35abf4f52c5c/#block_101" w:anchor="block_101" w:history="1">
              <w:r>
                <w:rPr>
                  <w:rFonts w:cs="Times New Roman" w:eastAsia="Times New Roman"/>
                  <w:color w:val="3272C0"/>
                  <w:sz w:val="27"/>
                  <w:lang w:eastAsia="ru-RU"/>
                </w:rPr>
                <w:t xml:space="preserve">*(1)</w:t>
              </w:r>
            </w:hyperlink>
            <w:r/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859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Местонахождение (адрес)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236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Площадь (кв. м)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308" w:type="dxa"/>
            <w:textDirection w:val="lrTb"/>
            <w:noWrap w:val="false"/>
          </w:tcPr>
          <w:p>
            <w:pPr>
              <w:ind w:left="84" w:right="84"/>
              <w:jc w:val="center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Основание приобретения</w:t>
            </w:r>
            <w:hyperlink r:id="rId11" w:tooltip="https://base.garant.ru/71172030/f7ee959fd36b5699076b35abf4f52c5c/#block_102" w:anchor="block_102" w:history="1">
              <w:r>
                <w:rPr>
                  <w:rFonts w:cs="Times New Roman" w:eastAsia="Times New Roman"/>
                  <w:color w:val="3272C0"/>
                  <w:sz w:val="27"/>
                  <w:lang w:eastAsia="ru-RU"/>
                </w:rPr>
                <w:t xml:space="preserve">*(2)</w:t>
              </w:r>
            </w:hyperlink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 и стоимость </w:t>
            </w:r>
            <w:hyperlink r:id="rId12" w:tooltip="https://base.garant.ru/71172030/f7ee959fd36b5699076b35abf4f52c5c/#block_103" w:anchor="block_103" w:history="1">
              <w:r>
                <w:rPr>
                  <w:rFonts w:cs="Times New Roman" w:eastAsia="Times New Roman"/>
                  <w:color w:val="3272C0"/>
                  <w:sz w:val="27"/>
                  <w:lang w:eastAsia="ru-RU"/>
                </w:rPr>
                <w:t xml:space="preserve">*(3)</w:t>
              </w:r>
            </w:hyperlink>
            <w:r/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644" w:type="dxa"/>
            <w:textDirection w:val="lrTb"/>
            <w:noWrap w:val="false"/>
          </w:tcPr>
          <w:p>
            <w:pPr>
              <w:ind w:left="84" w:right="84"/>
              <w:jc w:val="center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Сведения о залоге и залогодержателе</w:t>
            </w:r>
            <w:hyperlink r:id="rId13" w:tooltip="https://base.garant.ru/71172030/f7ee959fd36b5699076b35abf4f52c5c/#block_104" w:anchor="block_104" w:history="1">
              <w:r>
                <w:rPr>
                  <w:rFonts w:cs="Times New Roman" w:eastAsia="Times New Roman"/>
                  <w:color w:val="3272C0"/>
                  <w:sz w:val="27"/>
                  <w:lang w:eastAsia="ru-RU"/>
                </w:rPr>
                <w:t xml:space="preserve">*(4)</w:t>
              </w:r>
            </w:hyperlink>
            <w:r/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567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1.1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819" w:type="dxa"/>
            <w:textDirection w:val="lrTb"/>
            <w:noWrap w:val="false"/>
          </w:tcPr>
          <w:p>
            <w:pPr>
              <w:ind w:left="84" w:right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Земельные участки</w:t>
            </w:r>
            <w:hyperlink r:id="rId14" w:tooltip="https://base.garant.ru/71172030/f7ee959fd36b5699076b35abf4f52c5c/#block_105" w:anchor="block_105" w:history="1">
              <w:r>
                <w:rPr>
                  <w:rFonts w:cs="Times New Roman" w:eastAsia="Times New Roman"/>
                  <w:color w:val="3272C0"/>
                  <w:sz w:val="27"/>
                  <w:lang w:eastAsia="ru-RU"/>
                </w:rPr>
                <w:t xml:space="preserve">*(5)</w:t>
              </w:r>
            </w:hyperlink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: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1)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2)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908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859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236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308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644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567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1.2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819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Жилые дома, дачи: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1)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2)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908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859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236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308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644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567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1.3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819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Квартиры: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1)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2)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908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859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236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308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644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567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1.4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819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Гаражи: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1)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2)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908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859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236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308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644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567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1.5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819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Иное недвижимое имущество: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1)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2)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908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859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236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308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644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tbl>
      <w:tblPr>
        <w:tblW w:w="11528" w:type="dxa"/>
        <w:tblInd w:w="-1410" w:type="dxa"/>
        <w:shd w:val="clear" w:fill="FFFFFF" w:color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1462"/>
        <w:gridCol w:w="1701"/>
        <w:gridCol w:w="2313"/>
        <w:gridCol w:w="1514"/>
        <w:gridCol w:w="1560"/>
      </w:tblGrid>
      <w:tr>
        <w:trPr/>
        <w:tc>
          <w:tcPr>
            <w:gridSpan w:val="7"/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528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b/>
                <w:bCs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22272F"/>
                <w:sz w:val="27"/>
                <w:szCs w:val="27"/>
                <w:lang w:eastAsia="ru-RU"/>
              </w:rPr>
              <w:t xml:space="preserve">II. Движимое имущество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567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N п/п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411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Вид, марка, модель транспортного средства, год изготовления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462" w:type="dxa"/>
            <w:textDirection w:val="lrTb"/>
            <w:noWrap w:val="false"/>
          </w:tcPr>
          <w:p>
            <w:pPr>
              <w:ind w:left="84" w:right="84"/>
              <w:jc w:val="center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Идентиф</w:t>
            </w: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.</w:t>
            </w: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 номер</w:t>
            </w:r>
            <w:hyperlink r:id="rId15" w:tooltip="https://base.garant.ru/71172030/f7ee959fd36b5699076b35abf4f52c5c/#block_106" w:anchor="block_106" w:history="1">
              <w:r>
                <w:rPr>
                  <w:rFonts w:cs="Times New Roman" w:eastAsia="Times New Roman"/>
                  <w:color w:val="3272C0"/>
                  <w:sz w:val="27"/>
                  <w:lang w:eastAsia="ru-RU"/>
                </w:rPr>
                <w:t xml:space="preserve">*(6)</w:t>
              </w:r>
            </w:hyperlink>
            <w:r/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ind w:left="84" w:right="84"/>
              <w:jc w:val="center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Вид собственности</w:t>
            </w:r>
            <w:hyperlink r:id="rId16" w:tooltip="https://base.garant.ru/71172030/f7ee959fd36b5699076b35abf4f52c5c/#block_107" w:anchor="block_107" w:history="1">
              <w:r>
                <w:rPr>
                  <w:rFonts w:cs="Times New Roman" w:eastAsia="Times New Roman"/>
                  <w:color w:val="3272C0"/>
                  <w:sz w:val="27"/>
                  <w:lang w:eastAsia="ru-RU"/>
                </w:rPr>
                <w:t xml:space="preserve">*(7)</w:t>
              </w:r>
            </w:hyperlink>
            <w:r/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313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Место нахождения/место хранения (адрес)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514" w:type="dxa"/>
            <w:textDirection w:val="lrTb"/>
            <w:noWrap w:val="false"/>
          </w:tcPr>
          <w:p>
            <w:pPr>
              <w:ind w:left="84" w:right="84"/>
              <w:jc w:val="center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Стоимость</w:t>
            </w:r>
            <w:hyperlink r:id="rId17" w:tooltip="https://base.garant.ru/71172030/f7ee959fd36b5699076b35abf4f52c5c/#block_108" w:anchor="block_108" w:history="1">
              <w:r>
                <w:rPr>
                  <w:rFonts w:cs="Times New Roman" w:eastAsia="Times New Roman"/>
                  <w:color w:val="3272C0"/>
                  <w:sz w:val="27"/>
                  <w:lang w:eastAsia="ru-RU"/>
                </w:rPr>
                <w:t xml:space="preserve">*(8)</w:t>
              </w:r>
            </w:hyperlink>
            <w:r/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560" w:type="dxa"/>
            <w:textDirection w:val="lrTb"/>
            <w:noWrap w:val="false"/>
          </w:tcPr>
          <w:p>
            <w:pPr>
              <w:ind w:left="84" w:right="84"/>
              <w:jc w:val="center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Сведения о залоге и залогодержателе</w:t>
            </w:r>
            <w:hyperlink r:id="rId18" w:tooltip="https://base.garant.ru/71172030/f7ee959fd36b5699076b35abf4f52c5c/#block_109" w:anchor="block_109" w:history="1">
              <w:r>
                <w:rPr>
                  <w:rFonts w:cs="Times New Roman" w:eastAsia="Times New Roman"/>
                  <w:color w:val="3272C0"/>
                  <w:sz w:val="27"/>
                  <w:lang w:eastAsia="ru-RU"/>
                </w:rPr>
                <w:t xml:space="preserve">*(9)</w:t>
              </w:r>
            </w:hyperlink>
            <w:r/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567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2.1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411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Автомобили легковые: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1)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2)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462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313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514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560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567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2.2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411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Автомобили грузовые: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1)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2)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462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313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514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560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567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2.3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411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Мототранспортные</w:t>
            </w: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 средства: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1)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2)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462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313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514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560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567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2.4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411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Сельскохозяйственная техника: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1)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2)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462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313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514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560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567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2.5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411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Водный транспорт: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1)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2)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462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313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514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560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567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2.6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411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Воздушный транспорт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1)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2)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462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313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514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560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567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2.7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411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Иные транспортные средства: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1)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2)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462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313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514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560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</w:tbl>
    <w:p>
      <w:pPr>
        <w:shd w:val="clear" w:fill="FFFFFF" w:color="auto"/>
        <w:rPr>
          <w:rFonts w:cs="Times New Roman" w:eastAsia="Times New Roman"/>
          <w:color w:val="22272F"/>
          <w:sz w:val="25"/>
          <w:szCs w:val="25"/>
          <w:lang w:eastAsia="ru-RU"/>
        </w:rPr>
      </w:pPr>
      <w:r>
        <w:rPr>
          <w:rFonts w:cs="Times New Roman" w:eastAsia="Times New Roman"/>
          <w:color w:val="22272F"/>
          <w:sz w:val="25"/>
          <w:szCs w:val="25"/>
          <w:lang w:eastAsia="ru-RU"/>
        </w:rPr>
        <w:t xml:space="preserve"> </w:t>
      </w:r>
      <w:r/>
    </w:p>
    <w:p>
      <w:pPr>
        <w:shd w:val="clear" w:fill="FFFFFF" w:color="auto"/>
        <w:rPr>
          <w:rFonts w:cs="Times New Roman" w:eastAsia="Times New Roman"/>
          <w:color w:val="22272F"/>
          <w:sz w:val="25"/>
          <w:szCs w:val="25"/>
          <w:lang w:eastAsia="ru-RU"/>
        </w:rPr>
      </w:pPr>
      <w:r>
        <w:rPr>
          <w:rFonts w:cs="Times New Roman" w:eastAsia="Times New Roman"/>
          <w:color w:val="22272F"/>
          <w:sz w:val="25"/>
          <w:szCs w:val="25"/>
          <w:lang w:eastAsia="ru-RU"/>
        </w:rPr>
      </w:r>
      <w:r/>
    </w:p>
    <w:p>
      <w:pPr>
        <w:shd w:val="clear" w:fill="FFFFFF" w:color="auto"/>
        <w:rPr>
          <w:rFonts w:cs="Times New Roman" w:eastAsia="Times New Roman"/>
          <w:color w:val="22272F"/>
          <w:sz w:val="25"/>
          <w:szCs w:val="25"/>
          <w:lang w:eastAsia="ru-RU"/>
        </w:rPr>
      </w:pPr>
      <w:r>
        <w:rPr>
          <w:rFonts w:cs="Times New Roman" w:eastAsia="Times New Roman"/>
          <w:color w:val="22272F"/>
          <w:sz w:val="25"/>
          <w:szCs w:val="25"/>
          <w:lang w:eastAsia="ru-RU"/>
        </w:rPr>
      </w:r>
      <w:r/>
    </w:p>
    <w:tbl>
      <w:tblPr>
        <w:tblW w:w="10335" w:type="dxa"/>
        <w:tblInd w:w="-1410" w:type="dxa"/>
        <w:shd w:val="clear" w:fill="FFFFFF" w:color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232"/>
        <w:gridCol w:w="2090"/>
        <w:gridCol w:w="2240"/>
        <w:gridCol w:w="2225"/>
      </w:tblGrid>
      <w:tr>
        <w:trPr/>
        <w:tc>
          <w:tcPr>
            <w:gridSpan w:val="5"/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0335" w:type="dxa"/>
            <w:textDirection w:val="lrTb"/>
            <w:noWrap w:val="false"/>
          </w:tcPr>
          <w:p>
            <w:pPr>
              <w:ind w:left="-1268" w:right="84" w:firstLine="1352"/>
              <w:jc w:val="center"/>
              <w:spacing w:after="84" w:before="84"/>
              <w:rPr>
                <w:rFonts w:cs="Times New Roman" w:eastAsia="Times New Roman"/>
                <w:b/>
                <w:bCs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22272F"/>
                <w:sz w:val="27"/>
                <w:szCs w:val="27"/>
                <w:lang w:eastAsia="ru-RU"/>
              </w:rPr>
              <w:t xml:space="preserve">III. Сведения о счетах в банках и иных кредитных организациях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548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N п/п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3232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Наименование и адрес банка или иной кредитной организации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090" w:type="dxa"/>
            <w:textDirection w:val="lrTb"/>
            <w:noWrap w:val="false"/>
          </w:tcPr>
          <w:p>
            <w:pPr>
              <w:ind w:left="84" w:right="84"/>
              <w:jc w:val="center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Вид и валюта счета</w:t>
            </w:r>
            <w:hyperlink r:id="rId19" w:tooltip="https://base.garant.ru/71172030/f7ee959fd36b5699076b35abf4f52c5c/#block_110" w:anchor="block_110" w:history="1">
              <w:r>
                <w:rPr>
                  <w:rFonts w:cs="Times New Roman" w:eastAsia="Times New Roman"/>
                  <w:color w:val="3272C0"/>
                  <w:sz w:val="27"/>
                  <w:lang w:eastAsia="ru-RU"/>
                </w:rPr>
                <w:t xml:space="preserve">*(10)</w:t>
              </w:r>
            </w:hyperlink>
            <w:r/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240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Дата открытия счета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225" w:type="dxa"/>
            <w:textDirection w:val="lrTb"/>
            <w:noWrap w:val="false"/>
          </w:tcPr>
          <w:p>
            <w:pPr>
              <w:ind w:left="84" w:right="84"/>
              <w:jc w:val="center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Остаток на счете</w:t>
            </w:r>
            <w:hyperlink r:id="rId20" w:tooltip="https://base.garant.ru/71172030/f7ee959fd36b5699076b35abf4f52c5c/#block_1011" w:anchor="block_1011" w:history="1">
              <w:r>
                <w:rPr>
                  <w:rFonts w:cs="Times New Roman" w:eastAsia="Times New Roman"/>
                  <w:color w:val="3272C0"/>
                  <w:sz w:val="27"/>
                  <w:lang w:eastAsia="ru-RU"/>
                </w:rPr>
                <w:t xml:space="preserve">*(11)</w:t>
              </w:r>
            </w:hyperlink>
            <w:r/>
            <w:r/>
          </w:p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(руб.)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548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3.1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3232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090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240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225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548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3.2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3232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090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240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225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548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3.3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3232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090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240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225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</w:tbl>
    <w:p>
      <w:pPr>
        <w:shd w:val="clear" w:fill="FFFFFF" w:color="auto"/>
        <w:rPr>
          <w:rFonts w:cs="Times New Roman" w:eastAsia="Times New Roman"/>
          <w:color w:val="22272F"/>
          <w:sz w:val="25"/>
          <w:szCs w:val="25"/>
          <w:lang w:eastAsia="ru-RU"/>
        </w:rPr>
      </w:pPr>
      <w:r>
        <w:rPr>
          <w:rFonts w:cs="Times New Roman" w:eastAsia="Times New Roman"/>
          <w:color w:val="22272F"/>
          <w:sz w:val="25"/>
          <w:szCs w:val="25"/>
          <w:lang w:eastAsia="ru-RU"/>
        </w:rPr>
        <w:t xml:space="preserve"> </w:t>
      </w:r>
      <w:r/>
    </w:p>
    <w:p>
      <w:pPr>
        <w:spacing w:lineRule="auto" w:line="276" w:after="200"/>
        <w:rPr>
          <w:rFonts w:cs="Times New Roman" w:eastAsia="Times New Roman"/>
          <w:color w:val="22272F"/>
          <w:sz w:val="25"/>
          <w:szCs w:val="25"/>
          <w:lang w:eastAsia="ru-RU"/>
        </w:rPr>
      </w:pPr>
      <w:r>
        <w:rPr>
          <w:rFonts w:cs="Times New Roman" w:eastAsia="Times New Roman"/>
          <w:color w:val="22272F"/>
          <w:sz w:val="25"/>
          <w:szCs w:val="25"/>
          <w:lang w:eastAsia="ru-RU"/>
        </w:rPr>
        <w:br w:type="page"/>
      </w:r>
      <w:r/>
    </w:p>
    <w:tbl>
      <w:tblPr>
        <w:tblW w:w="10548" w:type="dxa"/>
        <w:tblInd w:w="-1410" w:type="dxa"/>
        <w:shd w:val="clear" w:fill="FFFFFF" w:color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218"/>
        <w:gridCol w:w="2303"/>
        <w:gridCol w:w="2082"/>
        <w:gridCol w:w="1665"/>
        <w:gridCol w:w="1733"/>
      </w:tblGrid>
      <w:tr>
        <w:trPr/>
        <w:tc>
          <w:tcPr>
            <w:gridSpan w:val="6"/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0548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b/>
                <w:bCs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22272F"/>
                <w:sz w:val="27"/>
                <w:szCs w:val="27"/>
                <w:lang w:eastAsia="ru-RU"/>
              </w:rPr>
              <w:t xml:space="preserve">IV. Акции и иное участие в коммерческих организациях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547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N п/п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218" w:type="dxa"/>
            <w:textDirection w:val="lrTb"/>
            <w:noWrap w:val="false"/>
          </w:tcPr>
          <w:p>
            <w:pPr>
              <w:ind w:left="84" w:right="84"/>
              <w:jc w:val="center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Наименование и организационно-правовая форма организации</w:t>
            </w:r>
            <w:hyperlink r:id="rId21" w:tooltip="https://base.garant.ru/71172030/f7ee959fd36b5699076b35abf4f52c5c/#block_1012" w:anchor="block_1012" w:history="1">
              <w:r>
                <w:rPr>
                  <w:rFonts w:cs="Times New Roman" w:eastAsia="Times New Roman"/>
                  <w:color w:val="3272C0"/>
                  <w:sz w:val="27"/>
                  <w:lang w:eastAsia="ru-RU"/>
                </w:rPr>
                <w:t xml:space="preserve">*(12)</w:t>
              </w:r>
            </w:hyperlink>
            <w:r/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303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Местонахождение организации (адрес)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082" w:type="dxa"/>
            <w:textDirection w:val="lrTb"/>
            <w:noWrap w:val="false"/>
          </w:tcPr>
          <w:p>
            <w:pPr>
              <w:ind w:left="84" w:right="84"/>
              <w:jc w:val="center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Уставный, складочный капитал, </w:t>
            </w: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паевый</w:t>
            </w: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 фонд</w:t>
            </w:r>
            <w:hyperlink r:id="rId22" w:tooltip="https://base.garant.ru/71172030/f7ee959fd36b5699076b35abf4f52c5c/#block_1013" w:anchor="block_1013" w:history="1">
              <w:r>
                <w:rPr>
                  <w:rFonts w:cs="Times New Roman" w:eastAsia="Times New Roman"/>
                  <w:color w:val="3272C0"/>
                  <w:sz w:val="27"/>
                  <w:lang w:eastAsia="ru-RU"/>
                </w:rPr>
                <w:t xml:space="preserve">*(13)</w:t>
              </w:r>
            </w:hyperlink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 (руб.)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665" w:type="dxa"/>
            <w:textDirection w:val="lrTb"/>
            <w:noWrap w:val="false"/>
          </w:tcPr>
          <w:p>
            <w:pPr>
              <w:ind w:left="84" w:right="84"/>
              <w:jc w:val="center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Доля участия</w:t>
            </w:r>
            <w:hyperlink r:id="rId23" w:tooltip="https://base.garant.ru/71172030/f7ee959fd36b5699076b35abf4f52c5c/#block_1014" w:anchor="block_1014" w:history="1">
              <w:r>
                <w:rPr>
                  <w:rFonts w:cs="Times New Roman" w:eastAsia="Times New Roman"/>
                  <w:color w:val="3272C0"/>
                  <w:sz w:val="27"/>
                  <w:lang w:eastAsia="ru-RU"/>
                </w:rPr>
                <w:t xml:space="preserve">*(14)</w:t>
              </w:r>
            </w:hyperlink>
            <w:r/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733" w:type="dxa"/>
            <w:textDirection w:val="lrTb"/>
            <w:noWrap w:val="false"/>
          </w:tcPr>
          <w:p>
            <w:pPr>
              <w:ind w:left="84" w:right="84"/>
              <w:jc w:val="center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Основание участия </w:t>
            </w:r>
            <w:hyperlink r:id="rId24" w:tooltip="https://base.garant.ru/71172030/f7ee959fd36b5699076b35abf4f52c5c/#block_1015" w:anchor="block_1015" w:history="1">
              <w:r>
                <w:rPr>
                  <w:rFonts w:cs="Times New Roman" w:eastAsia="Times New Roman"/>
                  <w:color w:val="3272C0"/>
                  <w:sz w:val="27"/>
                  <w:lang w:eastAsia="ru-RU"/>
                </w:rPr>
                <w:t xml:space="preserve">*(15)</w:t>
              </w:r>
            </w:hyperlink>
            <w:r/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547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4.1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218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303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082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665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733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547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4.2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218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303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082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665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733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547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4.3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218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303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082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665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733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</w:tbl>
    <w:p>
      <w:pPr>
        <w:shd w:val="clear" w:fill="FFFFFF" w:color="auto"/>
        <w:rPr>
          <w:rFonts w:cs="Times New Roman" w:eastAsia="Times New Roman"/>
          <w:color w:val="22272F"/>
          <w:sz w:val="25"/>
          <w:szCs w:val="25"/>
          <w:lang w:eastAsia="ru-RU"/>
        </w:rPr>
      </w:pPr>
      <w:r>
        <w:rPr>
          <w:rFonts w:cs="Times New Roman" w:eastAsia="Times New Roman"/>
          <w:color w:val="22272F"/>
          <w:sz w:val="25"/>
          <w:szCs w:val="25"/>
          <w:lang w:eastAsia="ru-RU"/>
        </w:rPr>
        <w:t xml:space="preserve"> </w:t>
      </w:r>
      <w:r/>
    </w:p>
    <w:p>
      <w:pPr>
        <w:spacing w:lineRule="auto" w:line="276" w:after="200"/>
        <w:rPr>
          <w:rFonts w:cs="Times New Roman" w:eastAsia="Times New Roman"/>
          <w:color w:val="22272F"/>
          <w:sz w:val="25"/>
          <w:szCs w:val="25"/>
          <w:lang w:eastAsia="ru-RU"/>
        </w:rPr>
      </w:pPr>
      <w:r>
        <w:rPr>
          <w:rFonts w:cs="Times New Roman" w:eastAsia="Times New Roman"/>
          <w:color w:val="22272F"/>
          <w:sz w:val="25"/>
          <w:szCs w:val="25"/>
          <w:lang w:eastAsia="ru-RU"/>
        </w:rPr>
        <w:br w:type="page"/>
      </w:r>
      <w:r/>
    </w:p>
    <w:tbl>
      <w:tblPr>
        <w:tblW w:w="10335" w:type="dxa"/>
        <w:tblInd w:w="-1410" w:type="dxa"/>
        <w:shd w:val="clear" w:fill="FFFFFF" w:color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802"/>
        <w:gridCol w:w="2004"/>
        <w:gridCol w:w="1787"/>
        <w:gridCol w:w="1485"/>
        <w:gridCol w:w="1447"/>
      </w:tblGrid>
      <w:tr>
        <w:trPr/>
        <w:tc>
          <w:tcPr>
            <w:gridSpan w:val="6"/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0335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b/>
                <w:bCs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22272F"/>
                <w:sz w:val="27"/>
                <w:szCs w:val="27"/>
                <w:lang w:eastAsia="ru-RU"/>
              </w:rPr>
              <w:t xml:space="preserve">V. Иные ценные бумаги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810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N п/п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802" w:type="dxa"/>
            <w:textDirection w:val="lrTb"/>
            <w:noWrap w:val="false"/>
          </w:tcPr>
          <w:p>
            <w:pPr>
              <w:ind w:left="84" w:right="84"/>
              <w:jc w:val="center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Вид ценной бумаги</w:t>
            </w:r>
            <w:hyperlink r:id="rId25" w:tooltip="https://base.garant.ru/71172030/f7ee959fd36b5699076b35abf4f52c5c/#block_1016" w:anchor="block_1016" w:history="1">
              <w:r>
                <w:rPr>
                  <w:rFonts w:cs="Times New Roman" w:eastAsia="Times New Roman"/>
                  <w:color w:val="3272C0"/>
                  <w:sz w:val="27"/>
                  <w:lang w:eastAsia="ru-RU"/>
                </w:rPr>
                <w:t xml:space="preserve">*(16)</w:t>
              </w:r>
            </w:hyperlink>
            <w:r/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004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Лицо, выпустившее ценную бумагу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787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Номинальная величина обязательства (руб.)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485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Общее количество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447" w:type="dxa"/>
            <w:textDirection w:val="lrTb"/>
            <w:noWrap w:val="false"/>
          </w:tcPr>
          <w:p>
            <w:pPr>
              <w:ind w:left="84" w:right="84"/>
              <w:jc w:val="center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Общая стоимость (руб.)</w:t>
            </w:r>
            <w:hyperlink r:id="rId26" w:tooltip="https://base.garant.ru/71172030/f7ee959fd36b5699076b35abf4f52c5c/#block_1017" w:anchor="block_1017" w:history="1">
              <w:r>
                <w:rPr>
                  <w:rFonts w:cs="Times New Roman" w:eastAsia="Times New Roman"/>
                  <w:color w:val="3272C0"/>
                  <w:sz w:val="27"/>
                  <w:lang w:eastAsia="ru-RU"/>
                </w:rPr>
                <w:t xml:space="preserve">*(17)</w:t>
              </w:r>
            </w:hyperlink>
            <w:r/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810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5.1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802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004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787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485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447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810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5.2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802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004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787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485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447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810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5.3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802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004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787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485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447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</w:tbl>
    <w:p>
      <w:pPr>
        <w:shd w:val="clear" w:fill="FFFFFF" w:color="auto"/>
        <w:rPr>
          <w:rFonts w:cs="Times New Roman" w:eastAsia="Times New Roman"/>
          <w:color w:val="22272F"/>
          <w:sz w:val="25"/>
          <w:szCs w:val="25"/>
          <w:lang w:eastAsia="ru-RU"/>
        </w:rPr>
      </w:pPr>
      <w:r>
        <w:rPr>
          <w:rFonts w:cs="Times New Roman" w:eastAsia="Times New Roman"/>
          <w:color w:val="22272F"/>
          <w:sz w:val="25"/>
          <w:szCs w:val="25"/>
          <w:lang w:eastAsia="ru-RU"/>
        </w:rPr>
        <w:t xml:space="preserve"> </w:t>
      </w:r>
      <w:r/>
    </w:p>
    <w:p>
      <w:pPr>
        <w:spacing w:lineRule="auto" w:line="276" w:after="200"/>
        <w:rPr>
          <w:rFonts w:cs="Times New Roman" w:eastAsia="Times New Roman"/>
          <w:color w:val="22272F"/>
          <w:sz w:val="25"/>
          <w:szCs w:val="25"/>
          <w:lang w:eastAsia="ru-RU"/>
        </w:rPr>
      </w:pPr>
      <w:r>
        <w:rPr>
          <w:rFonts w:cs="Times New Roman" w:eastAsia="Times New Roman"/>
          <w:color w:val="22272F"/>
          <w:sz w:val="25"/>
          <w:szCs w:val="25"/>
          <w:lang w:eastAsia="ru-RU"/>
        </w:rPr>
        <w:br w:type="page"/>
      </w:r>
      <w:r/>
    </w:p>
    <w:tbl>
      <w:tblPr>
        <w:tblW w:w="10368" w:type="dxa"/>
        <w:tblInd w:w="-1410" w:type="dxa"/>
        <w:shd w:val="clear" w:fill="FFFFFF" w:color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395"/>
        <w:gridCol w:w="1747"/>
        <w:gridCol w:w="2715"/>
        <w:gridCol w:w="2701"/>
      </w:tblGrid>
      <w:tr>
        <w:trPr/>
        <w:tc>
          <w:tcPr>
            <w:gridSpan w:val="5"/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0368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b/>
                <w:bCs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color w:val="22272F"/>
                <w:sz w:val="27"/>
                <w:szCs w:val="27"/>
                <w:lang w:eastAsia="ru-RU"/>
              </w:rPr>
              <w:t xml:space="preserve">VI. Сведения о наличных денежных средствах и ином ценном имуществе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810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N п/п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395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Вид и наименование имущества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747" w:type="dxa"/>
            <w:textDirection w:val="lrTb"/>
            <w:noWrap w:val="false"/>
          </w:tcPr>
          <w:p>
            <w:pPr>
              <w:ind w:left="84" w:right="84"/>
              <w:jc w:val="center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Стоимость (сумма и валюта) </w:t>
            </w:r>
            <w:hyperlink r:id="rId27" w:tooltip="https://base.garant.ru/71172030/f7ee959fd36b5699076b35abf4f52c5c/#block_1018" w:anchor="block_1018" w:history="1">
              <w:r>
                <w:rPr>
                  <w:rFonts w:cs="Times New Roman" w:eastAsia="Times New Roman"/>
                  <w:color w:val="3272C0"/>
                  <w:sz w:val="27"/>
                  <w:lang w:eastAsia="ru-RU"/>
                </w:rPr>
                <w:t xml:space="preserve">*(18)</w:t>
              </w:r>
            </w:hyperlink>
            <w:r/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715" w:type="dxa"/>
            <w:textDirection w:val="lrTb"/>
            <w:noWrap w:val="false"/>
          </w:tcPr>
          <w:p>
            <w:pPr>
              <w:ind w:left="84" w:right="84"/>
              <w:jc w:val="center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Место нахождения/место хранения</w:t>
            </w:r>
            <w:hyperlink r:id="rId28" w:tooltip="https://base.garant.ru/71172030/f7ee959fd36b5699076b35abf4f52c5c/#block_1019" w:anchor="block_1019" w:history="1">
              <w:r>
                <w:rPr>
                  <w:rFonts w:cs="Times New Roman" w:eastAsia="Times New Roman"/>
                  <w:color w:val="3272C0"/>
                  <w:sz w:val="27"/>
                  <w:lang w:eastAsia="ru-RU"/>
                </w:rPr>
                <w:t xml:space="preserve">*(19)</w:t>
              </w:r>
            </w:hyperlink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 (адрес)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701" w:type="dxa"/>
            <w:textDirection w:val="lrTb"/>
            <w:noWrap w:val="false"/>
          </w:tcPr>
          <w:p>
            <w:pPr>
              <w:ind w:left="84" w:right="84"/>
              <w:jc w:val="center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Сведения о залоге и залогодержателе</w:t>
            </w:r>
            <w:hyperlink r:id="rId29" w:tooltip="https://base.garant.ru/71172030/f7ee959fd36b5699076b35abf4f52c5c/#block_1020" w:anchor="block_1020" w:history="1">
              <w:r>
                <w:rPr>
                  <w:rFonts w:cs="Times New Roman" w:eastAsia="Times New Roman"/>
                  <w:color w:val="3272C0"/>
                  <w:sz w:val="27"/>
                  <w:lang w:eastAsia="ru-RU"/>
                </w:rPr>
                <w:t xml:space="preserve">*(20)</w:t>
              </w:r>
            </w:hyperlink>
            <w:r/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810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6.1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395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Наличные денежные средства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747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715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701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810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6.2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395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Драгоценности, в том числе ювелирные украшения, и другие предметы роскоши: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1)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2)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747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715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701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810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6.3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395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Предметы искусства: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1)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2)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747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715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701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810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6.4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395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Имущество, необходимое для профессиональных занятий: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1)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2)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747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715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701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810" w:type="dxa"/>
            <w:textDirection w:val="lrTb"/>
            <w:noWrap w:val="false"/>
          </w:tcPr>
          <w:p>
            <w:pPr>
              <w:ind w:left="84" w:right="84"/>
              <w:jc w:val="center"/>
              <w:spacing w:after="84" w:before="84"/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464C55"/>
                <w:sz w:val="27"/>
                <w:szCs w:val="27"/>
                <w:lang w:eastAsia="ru-RU"/>
              </w:rPr>
              <w:t xml:space="preserve">6.5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395" w:type="dxa"/>
            <w:textDirection w:val="lrTb"/>
            <w:noWrap w:val="false"/>
          </w:tcPr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Иное ценное имущество: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1)</w:t>
            </w:r>
            <w:r/>
          </w:p>
          <w:p>
            <w:pPr>
              <w:ind w:left="84" w:right="84"/>
              <w:spacing w:after="84" w:before="84"/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7"/>
                <w:szCs w:val="27"/>
                <w:lang w:eastAsia="ru-RU"/>
              </w:rPr>
              <w:t xml:space="preserve">2)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1747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715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right w:val="single" w:color="000000" w:sz="6" w:space="0"/>
              <w:bottom w:val="single" w:color="000000" w:sz="6" w:space="0"/>
            </w:tcBorders>
            <w:tcW w:w="2701" w:type="dxa"/>
            <w:textDirection w:val="lrTb"/>
            <w:noWrap w:val="false"/>
          </w:tcPr>
          <w:p>
            <w:pP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cs="Times New Roman" w:eastAsia="Times New Roman"/>
                <w:color w:val="22272F"/>
                <w:sz w:val="25"/>
                <w:szCs w:val="25"/>
                <w:lang w:eastAsia="ru-RU"/>
              </w:rPr>
              <w:t xml:space="preserve"> </w:t>
            </w:r>
            <w:r/>
          </w:p>
        </w:tc>
      </w:tr>
    </w:tbl>
    <w:p>
      <w:pPr>
        <w:shd w:val="clear" w:fill="FFFFFF" w:color="auto"/>
        <w:rPr>
          <w:rFonts w:cs="Times New Roman" w:eastAsia="Times New Roman"/>
          <w:color w:val="22272F"/>
          <w:sz w:val="25"/>
          <w:szCs w:val="25"/>
          <w:lang w:eastAsia="ru-RU"/>
        </w:rPr>
      </w:pPr>
      <w:r>
        <w:rPr>
          <w:rFonts w:cs="Times New Roman" w:eastAsia="Times New Roman"/>
          <w:color w:val="22272F"/>
          <w:sz w:val="25"/>
          <w:szCs w:val="25"/>
          <w:lang w:eastAsia="ru-RU"/>
        </w:rPr>
        <w:t xml:space="preserve"> </w:t>
      </w:r>
      <w:r/>
    </w:p>
    <w:p>
      <w:pPr>
        <w:ind w:left="-993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 w:eastAsia="Times New Roman"/>
          <w:color w:val="22272F"/>
          <w:sz w:val="25"/>
          <w:szCs w:val="25"/>
          <w:lang w:eastAsia="ru-RU"/>
        </w:rPr>
      </w:pPr>
      <w:r>
        <w:rPr>
          <w:rFonts w:ascii="Courier New" w:hAnsi="Courier New" w:cs="Courier New" w:eastAsia="Times New Roman"/>
          <w:color w:val="22272F"/>
          <w:sz w:val="25"/>
          <w:szCs w:val="25"/>
          <w:lang w:eastAsia="ru-RU"/>
        </w:rPr>
        <w:t xml:space="preserve">Достоверность и полноту настоящих сведений подтверждаю.</w:t>
      </w:r>
      <w:r/>
    </w:p>
    <w:p>
      <w:pPr>
        <w:ind w:left="-993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 w:eastAsia="Times New Roman"/>
          <w:color w:val="22272F"/>
          <w:sz w:val="25"/>
          <w:szCs w:val="25"/>
          <w:lang w:eastAsia="ru-RU"/>
        </w:rPr>
      </w:pPr>
      <w:r>
        <w:rPr>
          <w:rFonts w:ascii="Courier New" w:hAnsi="Courier New" w:cs="Courier New" w:eastAsia="Times New Roman"/>
          <w:color w:val="22272F"/>
          <w:sz w:val="25"/>
          <w:szCs w:val="25"/>
          <w:lang w:eastAsia="ru-RU"/>
        </w:rPr>
        <w:t xml:space="preserve">"   " ____________ 20    г. </w:t>
      </w:r>
      <w:r>
        <w:rPr>
          <w:rFonts w:ascii="Courier New" w:hAnsi="Courier New" w:cs="Courier New" w:eastAsia="Times New Roman"/>
          <w:color w:val="22272F"/>
          <w:sz w:val="25"/>
          <w:szCs w:val="25"/>
          <w:lang w:eastAsia="ru-RU"/>
        </w:rPr>
        <w:t xml:space="preserve">  _____________ </w:t>
      </w:r>
      <w:r>
        <w:rPr>
          <w:rFonts w:ascii="Courier New" w:hAnsi="Courier New" w:cs="Courier New" w:eastAsia="Times New Roman"/>
          <w:color w:val="22272F"/>
          <w:sz w:val="25"/>
          <w:szCs w:val="25"/>
          <w:lang w:eastAsia="ru-RU"/>
        </w:rPr>
        <w:t xml:space="preserve">_____________________</w:t>
      </w:r>
      <w:r/>
    </w:p>
    <w:p>
      <w:pPr>
        <w:jc w:val="right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 w:eastAsia="Times New Roman"/>
          <w:color w:val="22272F"/>
          <w:sz w:val="25"/>
          <w:szCs w:val="25"/>
          <w:lang w:eastAsia="ru-RU"/>
        </w:rPr>
      </w:pPr>
      <w:r>
        <w:rPr>
          <w:rFonts w:ascii="Courier New" w:hAnsi="Courier New" w:cs="Courier New" w:eastAsia="Times New Roman"/>
          <w:color w:val="22272F"/>
          <w:sz w:val="25"/>
          <w:szCs w:val="25"/>
          <w:lang w:eastAsia="ru-RU"/>
        </w:rPr>
        <w:t xml:space="preserve"> </w:t>
      </w:r>
      <w:r>
        <w:rPr>
          <w:rFonts w:ascii="Courier New" w:hAnsi="Courier New" w:cs="Courier New" w:eastAsia="Times New Roman"/>
          <w:color w:val="22272F"/>
          <w:sz w:val="25"/>
          <w:szCs w:val="25"/>
          <w:lang w:eastAsia="ru-RU"/>
        </w:rPr>
        <w:t xml:space="preserve">  </w:t>
      </w:r>
      <w:r>
        <w:rPr>
          <w:rFonts w:ascii="Courier New" w:hAnsi="Courier New" w:cs="Courier New" w:eastAsia="Times New Roman"/>
          <w:color w:val="22272F"/>
          <w:sz w:val="25"/>
          <w:szCs w:val="25"/>
          <w:lang w:eastAsia="ru-RU"/>
        </w:rPr>
        <w:t xml:space="preserve">(подпись)   (расшифровка подписи)</w:t>
      </w:r>
      <w:r/>
    </w:p>
    <w:p>
      <w:pPr>
        <w:shd w:val="clear" w:fill="FFFFFF" w:color="auto"/>
        <w:rPr>
          <w:rFonts w:cs="Times New Roman" w:eastAsia="Times New Roman"/>
          <w:color w:val="22272F"/>
          <w:sz w:val="25"/>
          <w:szCs w:val="25"/>
          <w:lang w:eastAsia="ru-RU"/>
        </w:rPr>
      </w:pPr>
      <w:r>
        <w:rPr>
          <w:rFonts w:cs="Times New Roman" w:eastAsia="Times New Roman"/>
          <w:color w:val="22272F"/>
          <w:sz w:val="25"/>
          <w:szCs w:val="25"/>
          <w:lang w:eastAsia="ru-RU"/>
        </w:rPr>
        <w:t xml:space="preserve"> </w:t>
      </w:r>
      <w:r/>
    </w:p>
    <w:p>
      <w:pPr>
        <w:spacing w:after="335"/>
        <w:shd w:val="clear" w:fill="FFFFFF" w:color="auto"/>
        <w:rPr>
          <w:rFonts w:cs="Times New Roman" w:eastAsia="Times New Roman"/>
          <w:color w:val="464C55"/>
          <w:sz w:val="27"/>
          <w:szCs w:val="27"/>
          <w:lang w:eastAsia="ru-RU"/>
        </w:rPr>
      </w:pPr>
      <w:r>
        <w:rPr>
          <w:rFonts w:cs="Times New Roman" w:eastAsia="Times New Roman"/>
          <w:color w:val="464C55"/>
          <w:sz w:val="27"/>
          <w:szCs w:val="27"/>
          <w:lang w:eastAsia="ru-RU"/>
        </w:rPr>
      </w:r>
      <w:r/>
    </w:p>
    <w:p>
      <w:pPr>
        <w:spacing w:after="335"/>
        <w:shd w:val="clear" w:fill="FFFFFF" w:color="auto"/>
        <w:rPr>
          <w:rFonts w:cs="Times New Roman" w:eastAsia="Times New Roman"/>
          <w:color w:val="464C55"/>
          <w:sz w:val="27"/>
          <w:szCs w:val="27"/>
          <w:lang w:eastAsia="ru-RU"/>
        </w:rPr>
      </w:pPr>
      <w:r>
        <w:rPr>
          <w:rFonts w:cs="Times New Roman" w:eastAsia="Times New Roman"/>
          <w:color w:val="464C55"/>
          <w:sz w:val="27"/>
          <w:szCs w:val="27"/>
          <w:lang w:eastAsia="ru-RU"/>
        </w:rPr>
      </w:r>
      <w:r/>
    </w:p>
    <w:p>
      <w:pPr>
        <w:spacing w:after="335"/>
        <w:shd w:val="clear" w:fill="FFFFFF" w:color="auto"/>
        <w:rPr>
          <w:rFonts w:cs="Times New Roman" w:eastAsia="Times New Roman"/>
          <w:color w:val="464C55"/>
          <w:sz w:val="27"/>
          <w:szCs w:val="27"/>
          <w:lang w:eastAsia="ru-RU"/>
        </w:rPr>
      </w:pPr>
      <w:r>
        <w:rPr>
          <w:rFonts w:cs="Times New Roman" w:eastAsia="Times New Roman"/>
          <w:color w:val="464C55"/>
          <w:sz w:val="27"/>
          <w:szCs w:val="27"/>
          <w:lang w:eastAsia="ru-RU"/>
        </w:rPr>
      </w:r>
      <w:r/>
    </w:p>
    <w:p>
      <w:pPr>
        <w:spacing w:after="335"/>
        <w:shd w:val="clear" w:fill="FFFFFF" w:color="auto"/>
        <w:rPr>
          <w:rFonts w:cs="Times New Roman" w:eastAsia="Times New Roman"/>
          <w:color w:val="464C55"/>
          <w:sz w:val="27"/>
          <w:szCs w:val="27"/>
          <w:lang w:eastAsia="ru-RU"/>
        </w:rPr>
      </w:pP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Примечания:</w:t>
      </w:r>
      <w:r/>
    </w:p>
    <w:p>
      <w:pPr>
        <w:spacing w:after="335"/>
        <w:shd w:val="clear" w:fill="FFFFFF" w:color="auto"/>
        <w:rPr>
          <w:rFonts w:cs="Times New Roman" w:eastAsia="Times New Roman"/>
          <w:color w:val="464C55"/>
          <w:sz w:val="27"/>
          <w:szCs w:val="27"/>
          <w:lang w:eastAsia="ru-RU"/>
        </w:rPr>
      </w:pP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*(1) Указывается вид собственности (индивидуальная, долевая, общая); для совместной собственности указываются иные лица (фамилия, имя и отчество (последнее - при наличии) или наименование), в </w:t>
      </w: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собственности</w:t>
      </w: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 которых находится имущество; для долевой собственности указывается доля гражданина, который составляет опись имущества.</w:t>
      </w:r>
      <w:r/>
    </w:p>
    <w:p>
      <w:pPr>
        <w:spacing w:after="335"/>
        <w:shd w:val="clear" w:fill="FFFFFF" w:color="auto"/>
        <w:rPr>
          <w:rFonts w:cs="Times New Roman" w:eastAsia="Times New Roman"/>
          <w:color w:val="464C55"/>
          <w:sz w:val="27"/>
          <w:szCs w:val="27"/>
          <w:lang w:eastAsia="ru-RU"/>
        </w:rPr>
      </w:pP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*(2) Указываются наименование и реквизиты документа, являющегося законным основанием для возникновения права собственности.</w:t>
      </w:r>
      <w:r/>
    </w:p>
    <w:p>
      <w:pPr>
        <w:spacing w:after="335"/>
        <w:shd w:val="clear" w:fill="FFFFFF" w:color="auto"/>
        <w:rPr>
          <w:rFonts w:cs="Times New Roman" w:eastAsia="Times New Roman"/>
          <w:color w:val="464C55"/>
          <w:sz w:val="27"/>
          <w:szCs w:val="27"/>
          <w:lang w:eastAsia="ru-RU"/>
        </w:rPr>
      </w:pP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*(3)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иной документ об оплате (приобретении) имущества).</w:t>
      </w:r>
      <w:r/>
    </w:p>
    <w:p>
      <w:pPr>
        <w:spacing w:after="335"/>
        <w:shd w:val="clear" w:fill="FFFFFF" w:color="auto"/>
        <w:rPr>
          <w:rFonts w:cs="Times New Roman" w:eastAsia="Times New Roman"/>
          <w:color w:val="464C55"/>
          <w:sz w:val="27"/>
          <w:szCs w:val="27"/>
          <w:lang w:eastAsia="ru-RU"/>
        </w:rPr>
      </w:pP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*(4) Указываются сведения о договоре </w:t>
      </w: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залога</w:t>
      </w: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  <w:r/>
    </w:p>
    <w:p>
      <w:pPr>
        <w:spacing w:after="335"/>
        <w:shd w:val="clear" w:fill="FFFFFF" w:color="auto"/>
        <w:rPr>
          <w:rFonts w:cs="Times New Roman" w:eastAsia="Times New Roman"/>
          <w:color w:val="464C55"/>
          <w:sz w:val="27"/>
          <w:szCs w:val="27"/>
          <w:lang w:eastAsia="ru-RU"/>
        </w:rPr>
      </w:pP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*(5)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/>
    </w:p>
    <w:p>
      <w:pPr>
        <w:spacing w:after="335"/>
        <w:shd w:val="clear" w:fill="FFFFFF" w:color="auto"/>
        <w:rPr>
          <w:rFonts w:cs="Times New Roman" w:eastAsia="Times New Roman"/>
          <w:color w:val="464C55"/>
          <w:sz w:val="27"/>
          <w:szCs w:val="27"/>
          <w:lang w:eastAsia="ru-RU"/>
        </w:rPr>
      </w:pP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*(6) Указывается при наличии у движимого имущества цифрового, буквенного обозначения или комбинации таких обозначений, которые идентифицируют указанное имущество, в том числе идентификационный номер транспортного средства (VIN).</w:t>
      </w:r>
      <w:r/>
    </w:p>
    <w:p>
      <w:pPr>
        <w:spacing w:after="335"/>
        <w:shd w:val="clear" w:fill="FFFFFF" w:color="auto"/>
        <w:rPr>
          <w:rFonts w:cs="Times New Roman" w:eastAsia="Times New Roman"/>
          <w:color w:val="464C55"/>
          <w:sz w:val="27"/>
          <w:szCs w:val="27"/>
          <w:lang w:eastAsia="ru-RU"/>
        </w:rPr>
      </w:pP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*(7) Указывается вид собственности (индивидуальная, долевая, общая); для совместной собственности указываются иные лица (фамилия, имя и отчество (последнее - при наличии) или наименование), в </w:t>
      </w: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собственности</w:t>
      </w: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 которых находится имущество; для долевой собственности указывается доля гражданина, который составляет опись имущества.</w:t>
      </w:r>
      <w:r/>
    </w:p>
    <w:p>
      <w:pPr>
        <w:spacing w:after="335"/>
        <w:shd w:val="clear" w:fill="FFFFFF" w:color="auto"/>
        <w:rPr>
          <w:rFonts w:cs="Times New Roman" w:eastAsia="Times New Roman"/>
          <w:color w:val="464C55"/>
          <w:sz w:val="27"/>
          <w:szCs w:val="27"/>
          <w:lang w:eastAsia="ru-RU"/>
        </w:rPr>
      </w:pP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*(8)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  <w:r/>
    </w:p>
    <w:p>
      <w:pPr>
        <w:spacing w:after="335"/>
        <w:shd w:val="clear" w:fill="FFFFFF" w:color="auto"/>
        <w:rPr>
          <w:rFonts w:cs="Times New Roman" w:eastAsia="Times New Roman"/>
          <w:color w:val="464C55"/>
          <w:sz w:val="27"/>
          <w:szCs w:val="27"/>
          <w:lang w:eastAsia="ru-RU"/>
        </w:rPr>
      </w:pP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*(9) Указываются сведения о договоре </w:t>
      </w: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залога</w:t>
      </w: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  <w:r/>
    </w:p>
    <w:p>
      <w:pPr>
        <w:spacing w:after="335"/>
        <w:shd w:val="clear" w:fill="FFFFFF" w:color="auto"/>
        <w:rPr>
          <w:rFonts w:cs="Times New Roman" w:eastAsia="Times New Roman"/>
          <w:color w:val="464C55"/>
          <w:sz w:val="27"/>
          <w:szCs w:val="27"/>
          <w:lang w:eastAsia="ru-RU"/>
        </w:rPr>
      </w:pP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*(10) Указывается вид счета (например, депозитный, текущий, расчетный, ссудный) и валюта счета.</w:t>
      </w:r>
      <w:r/>
    </w:p>
    <w:p>
      <w:pPr>
        <w:spacing w:after="335"/>
        <w:shd w:val="clear" w:fill="FFFFFF" w:color="auto"/>
        <w:rPr>
          <w:rFonts w:cs="Times New Roman" w:eastAsia="Times New Roman"/>
          <w:color w:val="464C55"/>
          <w:sz w:val="27"/>
          <w:szCs w:val="27"/>
          <w:lang w:eastAsia="ru-RU"/>
        </w:rPr>
      </w:pP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*(11) Остаток на счете указывается по состоянию на дату составления описи имущества гражданина. Для счетов в иностранной валюте остаток указывается в рублях по курсу Банка России на дату составления описи имущества гражданина.</w:t>
      </w:r>
      <w:r/>
    </w:p>
    <w:p>
      <w:pPr>
        <w:spacing w:after="335"/>
        <w:shd w:val="clear" w:fill="FFFFFF" w:color="auto"/>
        <w:rPr>
          <w:rFonts w:cs="Times New Roman" w:eastAsia="Times New Roman"/>
          <w:color w:val="464C55"/>
          <w:sz w:val="27"/>
          <w:szCs w:val="27"/>
          <w:lang w:eastAsia="ru-RU"/>
        </w:rPr>
      </w:pP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*(12) Указываются полное или сокращенное официальное наименование организац</w:t>
      </w: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ии и ее</w:t>
      </w: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 организационно-правовая форма (например, акционерное общество, общество с ограниченной ответственностью, полное товарищество, товарищество на вере, производственный кооператив, хозяйственное партнерство).</w:t>
      </w:r>
      <w:r/>
    </w:p>
    <w:p>
      <w:pPr>
        <w:spacing w:after="335"/>
        <w:shd w:val="clear" w:fill="FFFFFF" w:color="auto"/>
        <w:rPr>
          <w:rFonts w:cs="Times New Roman" w:eastAsia="Times New Roman"/>
          <w:color w:val="464C55"/>
          <w:sz w:val="27"/>
          <w:szCs w:val="27"/>
          <w:lang w:eastAsia="ru-RU"/>
        </w:rPr>
      </w:pP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*(13) Указывается согласно учредительным документам организации по состоянию на дату составления описи имущества гражданина. Суммы, выраженные в иностранной валюте, указываются в рублях по курсу Банка России на дату составления описи имущества гражданина.</w:t>
      </w:r>
      <w:r/>
    </w:p>
    <w:p>
      <w:pPr>
        <w:spacing w:after="335"/>
        <w:shd w:val="clear" w:fill="FFFFFF" w:color="auto"/>
        <w:rPr>
          <w:rFonts w:cs="Times New Roman" w:eastAsia="Times New Roman"/>
          <w:color w:val="464C55"/>
          <w:sz w:val="27"/>
          <w:szCs w:val="27"/>
          <w:lang w:eastAsia="ru-RU"/>
        </w:rPr>
      </w:pP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*(14) Указывается доля участия в уставном, складочном капитале, паевом фонде. Для акционерных обществ указываются также номинальная стоимость и количество акций.</w:t>
      </w:r>
      <w:r/>
    </w:p>
    <w:p>
      <w:pPr>
        <w:spacing w:after="335"/>
        <w:shd w:val="clear" w:fill="FFFFFF" w:color="auto"/>
        <w:rPr>
          <w:rFonts w:cs="Times New Roman" w:eastAsia="Times New Roman"/>
          <w:color w:val="464C55"/>
          <w:sz w:val="27"/>
          <w:szCs w:val="27"/>
          <w:lang w:eastAsia="ru-RU"/>
        </w:rPr>
      </w:pP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*(15) Указываются основание приобретения доли участия (например, учредительный договор, приватизация, покупка, мена, дарение, наследование), а также реквизиты (дата, номер) соответствующего договора или акта.</w:t>
      </w:r>
      <w:r/>
    </w:p>
    <w:p>
      <w:pPr>
        <w:shd w:val="clear" w:fill="FFFFFF" w:color="auto"/>
        <w:rPr>
          <w:rFonts w:cs="Times New Roman" w:eastAsia="Times New Roman"/>
          <w:color w:val="464C55"/>
          <w:sz w:val="27"/>
          <w:szCs w:val="27"/>
          <w:lang w:eastAsia="ru-RU"/>
        </w:rPr>
      </w:pP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*(16) Указываются все ценные бумаги по видам (например, облигации, векселя), за исключением акций, указанных в </w:t>
      </w:r>
      <w:hyperlink r:id="rId30" w:tooltip="https://base.garant.ru/71172030/f7ee959fd36b5699076b35abf4f52c5c/#block_2001" w:anchor="block_2001" w:history="1">
        <w:r>
          <w:rPr>
            <w:rFonts w:cs="Times New Roman" w:eastAsia="Times New Roman"/>
            <w:color w:val="3272C0"/>
            <w:sz w:val="27"/>
            <w:lang w:eastAsia="ru-RU"/>
          </w:rPr>
          <w:t xml:space="preserve">разделе IV</w:t>
        </w:r>
      </w:hyperlink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 "Акции и иное участие в коммерческих организациях".</w:t>
      </w:r>
      <w:r/>
    </w:p>
    <w:p>
      <w:pPr>
        <w:spacing w:after="335"/>
        <w:shd w:val="clear" w:fill="FFFFFF" w:color="auto"/>
        <w:rPr>
          <w:rFonts w:cs="Times New Roman" w:eastAsia="Times New Roman"/>
          <w:color w:val="464C55"/>
          <w:sz w:val="27"/>
          <w:szCs w:val="27"/>
          <w:lang w:eastAsia="ru-RU"/>
        </w:rPr>
      </w:pP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*(17) Указывается общая стоимость ценных бумаг данного вида исходя из стоимос</w:t>
      </w: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составления описи имущества гражданина.</w:t>
      </w:r>
      <w:r/>
    </w:p>
    <w:p>
      <w:pPr>
        <w:spacing w:after="335"/>
        <w:shd w:val="clear" w:fill="FFFFFF" w:color="auto"/>
        <w:rPr>
          <w:rFonts w:cs="Times New Roman" w:eastAsia="Times New Roman"/>
          <w:color w:val="464C55"/>
          <w:sz w:val="27"/>
          <w:szCs w:val="27"/>
          <w:lang w:eastAsia="ru-RU"/>
        </w:rPr>
      </w:pP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*(18) В отношении наличных денежных средств в валюте указывается сумма по курсу Банка России на дату подачи заявления о признании должника банкротом, в отнош</w:t>
      </w: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ении иного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  <w:r/>
    </w:p>
    <w:p>
      <w:pPr>
        <w:spacing w:after="335"/>
        <w:shd w:val="clear" w:fill="FFFFFF" w:color="auto"/>
        <w:rPr>
          <w:rFonts w:cs="Times New Roman" w:eastAsia="Times New Roman"/>
          <w:color w:val="464C55"/>
          <w:sz w:val="27"/>
          <w:szCs w:val="27"/>
          <w:lang w:eastAsia="ru-RU"/>
        </w:rPr>
      </w:pP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*(19) Указываются сведения о договоре хранения ценностей в индивидуальном банковском сейфе (ячейке) и наименование кредитной организации.</w:t>
      </w:r>
      <w:r/>
    </w:p>
    <w:p>
      <w:pPr>
        <w:spacing w:after="335"/>
        <w:shd w:val="clear" w:fill="FFFFFF" w:color="auto"/>
        <w:rPr>
          <w:rFonts w:cs="Times New Roman" w:eastAsia="Times New Roman"/>
          <w:color w:val="464C55"/>
          <w:sz w:val="27"/>
          <w:szCs w:val="27"/>
          <w:lang w:eastAsia="ru-RU"/>
        </w:rPr>
      </w:pP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*(20) Указываются сведения о договоре </w:t>
      </w: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залога</w:t>
      </w:r>
      <w:r>
        <w:rPr>
          <w:rFonts w:cs="Times New Roman" w:eastAsia="Times New Roman"/>
          <w:color w:val="464C55"/>
          <w:sz w:val="27"/>
          <w:szCs w:val="27"/>
          <w:lang w:eastAsia="ru-RU"/>
        </w:rPr>
        <w:t xml:space="preserve">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1"/>
    <w:link w:val="59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1"/>
    <w:link w:val="600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601"/>
    <w:link w:val="605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Times New Roman" w:hAnsi="Times New Roman"/>
      <w:sz w:val="28"/>
    </w:rPr>
    <w:pPr>
      <w:spacing w:lineRule="auto" w:line="240" w:after="0"/>
    </w:pPr>
  </w:style>
  <w:style w:type="paragraph" w:styleId="599">
    <w:name w:val="Heading 1"/>
    <w:basedOn w:val="598"/>
    <w:next w:val="598"/>
    <w:link w:val="604"/>
    <w:qFormat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32"/>
      <w:szCs w:val="28"/>
    </w:rPr>
    <w:pPr>
      <w:keepLines/>
      <w:keepNext/>
      <w:spacing w:after="120" w:before="480"/>
      <w:outlineLvl w:val="0"/>
    </w:pPr>
  </w:style>
  <w:style w:type="paragraph" w:styleId="600">
    <w:name w:val="Heading 2"/>
    <w:basedOn w:val="598"/>
    <w:next w:val="598"/>
    <w:link w:val="607"/>
    <w:qFormat/>
    <w:uiPriority w:val="9"/>
    <w:unhideWhenUsed/>
    <w:rPr>
      <w:rFonts w:cs="Times New Roman" w:asciiTheme="majorHAnsi" w:hAnsiTheme="majorHAnsi" w:eastAsiaTheme="majorEastAsia"/>
      <w:b/>
      <w:sz w:val="24"/>
      <w:szCs w:val="24"/>
      <w:shd w:val="clear" w:fill="FFFFFF" w:color="auto"/>
    </w:rPr>
    <w:pPr>
      <w:keepLines/>
      <w:keepNext/>
      <w:spacing w:after="120" w:before="120"/>
      <w:outlineLvl w:val="1"/>
    </w:p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character" w:styleId="604" w:customStyle="1">
    <w:name w:val="Заголовок 1 Знак"/>
    <w:basedOn w:val="601"/>
    <w:link w:val="599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32"/>
      <w:szCs w:val="28"/>
    </w:rPr>
  </w:style>
  <w:style w:type="paragraph" w:styleId="605">
    <w:name w:val="Title"/>
    <w:basedOn w:val="598"/>
    <w:next w:val="598"/>
    <w:link w:val="606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  <w:pPr>
      <w:contextualSpacing w:val="true"/>
      <w:spacing w:after="300"/>
    </w:pPr>
  </w:style>
  <w:style w:type="character" w:styleId="606" w:customStyle="1">
    <w:name w:val="Название Знак"/>
    <w:basedOn w:val="601"/>
    <w:link w:val="605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07" w:customStyle="1">
    <w:name w:val="Заголовок 2 Знак"/>
    <w:basedOn w:val="601"/>
    <w:link w:val="600"/>
    <w:uiPriority w:val="9"/>
    <w:rPr>
      <w:rFonts w:cs="Times New Roman" w:asciiTheme="majorHAnsi" w:hAnsiTheme="majorHAnsi" w:eastAsiaTheme="majorEastAsia"/>
      <w:b/>
      <w:sz w:val="28"/>
      <w:szCs w:val="24"/>
    </w:rPr>
  </w:style>
  <w:style w:type="paragraph" w:styleId="608">
    <w:name w:val="Balloon Text"/>
    <w:basedOn w:val="598"/>
    <w:link w:val="609"/>
    <w:uiPriority w:val="99"/>
    <w:semiHidden/>
    <w:unhideWhenUsed/>
    <w:rPr>
      <w:rFonts w:ascii="Tahoma" w:hAnsi="Tahoma" w:cs="Tahoma"/>
      <w:sz w:val="16"/>
      <w:szCs w:val="16"/>
    </w:rPr>
  </w:style>
  <w:style w:type="character" w:styleId="609" w:customStyle="1">
    <w:name w:val="Текст выноски Знак"/>
    <w:basedOn w:val="601"/>
    <w:link w:val="608"/>
    <w:uiPriority w:val="99"/>
    <w:semiHidden/>
    <w:rPr>
      <w:rFonts w:ascii="Tahoma" w:hAnsi="Tahoma" w:cs="Tahoma"/>
      <w:sz w:val="16"/>
      <w:szCs w:val="16"/>
    </w:rPr>
  </w:style>
  <w:style w:type="paragraph" w:styleId="610" w:customStyle="1">
    <w:name w:val="s_3"/>
    <w:basedOn w:val="598"/>
    <w:rPr>
      <w:rFonts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611" w:customStyle="1">
    <w:name w:val="s_16"/>
    <w:basedOn w:val="598"/>
    <w:rPr>
      <w:rFonts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612">
    <w:name w:val="Normal (Web)"/>
    <w:basedOn w:val="598"/>
    <w:uiPriority w:val="99"/>
    <w:unhideWhenUsed/>
    <w:rPr>
      <w:rFonts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613">
    <w:name w:val="Hyperlink"/>
    <w:basedOn w:val="601"/>
    <w:uiPriority w:val="99"/>
    <w:semiHidden/>
    <w:unhideWhenUsed/>
    <w:rPr>
      <w:color w:val="0000FF"/>
      <w:u w:val="single"/>
    </w:rPr>
  </w:style>
  <w:style w:type="paragraph" w:styleId="614" w:customStyle="1">
    <w:name w:val="s_1"/>
    <w:basedOn w:val="598"/>
    <w:rPr>
      <w:rFonts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615">
    <w:name w:val="HTML Preformatted"/>
    <w:basedOn w:val="598"/>
    <w:link w:val="61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16" w:customStyle="1">
    <w:name w:val="Стандартный HTML Знак"/>
    <w:basedOn w:val="601"/>
    <w:link w:val="615"/>
    <w:uiPriority w:val="99"/>
    <w:semiHidden/>
    <w:rPr>
      <w:rFonts w:ascii="Courier New" w:hAnsi="Courier New" w:cs="Courier New" w:eastAsia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base.garant.ru/71172030/f7ee959fd36b5699076b35abf4f52c5c/" TargetMode="External"/><Relationship Id="rId10" Type="http://schemas.openxmlformats.org/officeDocument/2006/relationships/hyperlink" Target="https://base.garant.ru/71172030/f7ee959fd36b5699076b35abf4f52c5c/" TargetMode="External"/><Relationship Id="rId11" Type="http://schemas.openxmlformats.org/officeDocument/2006/relationships/hyperlink" Target="https://base.garant.ru/71172030/f7ee959fd36b5699076b35abf4f52c5c/" TargetMode="External"/><Relationship Id="rId12" Type="http://schemas.openxmlformats.org/officeDocument/2006/relationships/hyperlink" Target="https://base.garant.ru/71172030/f7ee959fd36b5699076b35abf4f52c5c/" TargetMode="External"/><Relationship Id="rId13" Type="http://schemas.openxmlformats.org/officeDocument/2006/relationships/hyperlink" Target="https://base.garant.ru/71172030/f7ee959fd36b5699076b35abf4f52c5c/" TargetMode="External"/><Relationship Id="rId14" Type="http://schemas.openxmlformats.org/officeDocument/2006/relationships/hyperlink" Target="https://base.garant.ru/71172030/f7ee959fd36b5699076b35abf4f52c5c/" TargetMode="External"/><Relationship Id="rId15" Type="http://schemas.openxmlformats.org/officeDocument/2006/relationships/hyperlink" Target="https://base.garant.ru/71172030/f7ee959fd36b5699076b35abf4f52c5c/" TargetMode="External"/><Relationship Id="rId16" Type="http://schemas.openxmlformats.org/officeDocument/2006/relationships/hyperlink" Target="https://base.garant.ru/71172030/f7ee959fd36b5699076b35abf4f52c5c/" TargetMode="External"/><Relationship Id="rId17" Type="http://schemas.openxmlformats.org/officeDocument/2006/relationships/hyperlink" Target="https://base.garant.ru/71172030/f7ee959fd36b5699076b35abf4f52c5c/" TargetMode="External"/><Relationship Id="rId18" Type="http://schemas.openxmlformats.org/officeDocument/2006/relationships/hyperlink" Target="https://base.garant.ru/71172030/f7ee959fd36b5699076b35abf4f52c5c/" TargetMode="External"/><Relationship Id="rId19" Type="http://schemas.openxmlformats.org/officeDocument/2006/relationships/hyperlink" Target="https://base.garant.ru/71172030/f7ee959fd36b5699076b35abf4f52c5c/" TargetMode="External"/><Relationship Id="rId20" Type="http://schemas.openxmlformats.org/officeDocument/2006/relationships/hyperlink" Target="https://base.garant.ru/71172030/f7ee959fd36b5699076b35abf4f52c5c/" TargetMode="External"/><Relationship Id="rId21" Type="http://schemas.openxmlformats.org/officeDocument/2006/relationships/hyperlink" Target="https://base.garant.ru/71172030/f7ee959fd36b5699076b35abf4f52c5c/" TargetMode="External"/><Relationship Id="rId22" Type="http://schemas.openxmlformats.org/officeDocument/2006/relationships/hyperlink" Target="https://base.garant.ru/71172030/f7ee959fd36b5699076b35abf4f52c5c/" TargetMode="External"/><Relationship Id="rId23" Type="http://schemas.openxmlformats.org/officeDocument/2006/relationships/hyperlink" Target="https://base.garant.ru/71172030/f7ee959fd36b5699076b35abf4f52c5c/" TargetMode="External"/><Relationship Id="rId24" Type="http://schemas.openxmlformats.org/officeDocument/2006/relationships/hyperlink" Target="https://base.garant.ru/71172030/f7ee959fd36b5699076b35abf4f52c5c/" TargetMode="External"/><Relationship Id="rId25" Type="http://schemas.openxmlformats.org/officeDocument/2006/relationships/hyperlink" Target="https://base.garant.ru/71172030/f7ee959fd36b5699076b35abf4f52c5c/" TargetMode="External"/><Relationship Id="rId26" Type="http://schemas.openxmlformats.org/officeDocument/2006/relationships/hyperlink" Target="https://base.garant.ru/71172030/f7ee959fd36b5699076b35abf4f52c5c/" TargetMode="External"/><Relationship Id="rId27" Type="http://schemas.openxmlformats.org/officeDocument/2006/relationships/hyperlink" Target="https://base.garant.ru/71172030/f7ee959fd36b5699076b35abf4f52c5c/" TargetMode="External"/><Relationship Id="rId28" Type="http://schemas.openxmlformats.org/officeDocument/2006/relationships/hyperlink" Target="https://base.garant.ru/71172030/f7ee959fd36b5699076b35abf4f52c5c/" TargetMode="External"/><Relationship Id="rId29" Type="http://schemas.openxmlformats.org/officeDocument/2006/relationships/hyperlink" Target="https://base.garant.ru/71172030/f7ee959fd36b5699076b35abf4f52c5c/" TargetMode="External"/><Relationship Id="rId30" Type="http://schemas.openxmlformats.org/officeDocument/2006/relationships/hyperlink" Target="https://base.garant.ru/71172030/f7ee959fd36b5699076b35abf4f52c5c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Лукьянова</dc:creator>
  <cp:lastModifiedBy>Алмаз Файрушин</cp:lastModifiedBy>
  <cp:revision>2</cp:revision>
  <dcterms:created xsi:type="dcterms:W3CDTF">2021-11-05T10:43:00Z</dcterms:created>
  <dcterms:modified xsi:type="dcterms:W3CDTF">2021-11-09T09:49:07Z</dcterms:modified>
</cp:coreProperties>
</file>